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sz w:val="26"/>
          <w:szCs w:val="26"/>
        </w:rPr>
      </w:pPr>
      <w:r>
        <w:rPr>
          <w:rFonts w:cs="Calibri" w:cstheme="minorHAnsi"/>
          <w:b/>
          <w:sz w:val="26"/>
          <w:szCs w:val="26"/>
        </w:rPr>
        <w:t>Informacja dla sygnalistów zgodnie z art. 48 ustawy z dnia 14 czerwca 2024 r.</w:t>
        <w:br/>
        <w:t>o ochronie sygnalistów (Dz. U. 2024 r. poz. 928)</w:t>
      </w:r>
    </w:p>
    <w:p>
      <w:pPr>
        <w:pStyle w:val="ListParagraph"/>
        <w:jc w:val="center"/>
        <w:rPr>
          <w:rFonts w:cs="Calibri" w:cstheme="minorHAnsi"/>
          <w:b/>
          <w:b/>
          <w:i/>
          <w:i/>
          <w:color w:val="70AD47" w:themeColor="accent6"/>
          <w:sz w:val="26"/>
          <w:szCs w:val="26"/>
        </w:rPr>
      </w:pPr>
      <w:r>
        <w:rPr>
          <w:rFonts w:cs="Calibri" w:cstheme="minorHAnsi"/>
          <w:b/>
          <w:i/>
          <w:color w:val="70AD47" w:themeColor="accent6"/>
          <w:sz w:val="26"/>
          <w:szCs w:val="26"/>
        </w:rPr>
        <w:t>Sygnalistą jest osoba fizyczna, która zgłasza lub ujawnia publicznie informację o naruszeniu prawa uzyskaną w kontekście związanym z pracą.</w:t>
      </w:r>
    </w:p>
    <w:p>
      <w:pPr>
        <w:pStyle w:val="Normal"/>
        <w:ind w:firstLine="708"/>
        <w:jc w:val="both"/>
        <w:rPr>
          <w:rFonts w:cs="Calibri" w:cstheme="minorHAnsi"/>
          <w:sz w:val="24"/>
          <w:szCs w:val="24"/>
        </w:rPr>
      </w:pPr>
      <w:r>
        <w:rPr>
          <w:rFonts w:cs="Calibri" w:cstheme="minorHAnsi"/>
          <w:sz w:val="24"/>
          <w:szCs w:val="24"/>
        </w:rPr>
        <w:t xml:space="preserve">Z dniem 25 grudnia 2024 r. w Komendzie </w:t>
      </w:r>
      <w:r>
        <w:rPr>
          <w:rFonts w:cs="Calibri" w:cstheme="minorHAnsi"/>
          <w:sz w:val="24"/>
          <w:szCs w:val="24"/>
        </w:rPr>
        <w:t>Powiatowej</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zapewnia się możliwość dokonywania zgłoszeń zewnętrznych w trybie i na warunkach określonych</w:t>
        <w:br/>
        <w:t xml:space="preserve"> w ustawie z dnia 14 czerwca 2024 r. o ochronie sygnalistów (Dz. U. 2024 r. poz. 928) </w:t>
        <w:br/>
        <w:t>– zwanej dalej ustawą.</w:t>
      </w:r>
    </w:p>
    <w:p>
      <w:pPr>
        <w:pStyle w:val="ListParagraph"/>
        <w:numPr>
          <w:ilvl w:val="0"/>
          <w:numId w:val="2"/>
        </w:numPr>
        <w:rPr>
          <w:rFonts w:cs="Calibri" w:cstheme="minorHAnsi"/>
          <w:b/>
          <w:b/>
          <w:sz w:val="24"/>
          <w:szCs w:val="24"/>
        </w:rPr>
      </w:pPr>
      <w:r>
        <w:rPr>
          <w:rFonts w:cs="Calibri" w:cstheme="minorHAnsi"/>
          <w:b/>
          <w:sz w:val="24"/>
          <w:szCs w:val="24"/>
        </w:rPr>
        <w:t>Dane kontaktowe umożliwiające dokonanie zgłoszenia zewnętrznego:</w:t>
      </w:r>
    </w:p>
    <w:p>
      <w:pPr>
        <w:pStyle w:val="ListParagraph"/>
        <w:ind w:left="993" w:hanging="0"/>
        <w:rPr>
          <w:rFonts w:eastAsia="NSimSun" w:cs="Calibri" w:cstheme="minorHAnsi"/>
          <w:iCs/>
          <w:kern w:val="2"/>
          <w:sz w:val="24"/>
          <w:szCs w:val="24"/>
          <w:lang w:eastAsia="zh-CN" w:bidi="hi-IN"/>
        </w:rPr>
      </w:pPr>
      <w:r>
        <w:rPr>
          <w:rFonts w:eastAsia="NSimSun" w:cs="Calibri" w:cstheme="minorHAnsi"/>
          <w:iCs/>
          <w:kern w:val="2"/>
          <w:sz w:val="24"/>
          <w:szCs w:val="24"/>
          <w:lang w:eastAsia="zh-CN" w:bidi="hi-IN"/>
        </w:rPr>
        <w:t>Komend</w:t>
      </w:r>
      <w:r>
        <w:rPr>
          <w:rFonts w:eastAsia="NSimSun" w:cs="Calibri" w:cstheme="minorHAnsi"/>
          <w:iCs/>
          <w:kern w:val="2"/>
          <w:sz w:val="24"/>
          <w:szCs w:val="24"/>
          <w:lang w:eastAsia="zh-CN" w:bidi="hi-IN"/>
        </w:rPr>
        <w:t>a</w:t>
      </w:r>
      <w:r>
        <w:rPr>
          <w:rFonts w:eastAsia="NSimSun" w:cs="Calibri" w:cstheme="minorHAnsi"/>
          <w:iCs/>
          <w:kern w:val="2"/>
          <w:sz w:val="24"/>
          <w:szCs w:val="24"/>
          <w:lang w:eastAsia="zh-CN" w:bidi="hi-IN"/>
        </w:rPr>
        <w:t xml:space="preserve"> </w:t>
      </w:r>
      <w:r>
        <w:rPr>
          <w:rFonts w:eastAsia="NSimSun" w:cs="Calibri" w:cstheme="minorHAnsi"/>
          <w:iCs/>
          <w:kern w:val="2"/>
          <w:sz w:val="24"/>
          <w:szCs w:val="24"/>
          <w:lang w:eastAsia="zh-CN" w:bidi="hi-IN"/>
        </w:rPr>
        <w:t>Powiatowa</w:t>
      </w:r>
      <w:r>
        <w:rPr>
          <w:rFonts w:eastAsia="NSimSun" w:cs="Calibri" w:cstheme="minorHAnsi"/>
          <w:iCs/>
          <w:kern w:val="2"/>
          <w:sz w:val="24"/>
          <w:szCs w:val="24"/>
          <w:lang w:eastAsia="zh-CN" w:bidi="hi-IN"/>
        </w:rPr>
        <w:t xml:space="preserve"> Policji w </w:t>
      </w:r>
      <w:r>
        <w:rPr>
          <w:rFonts w:eastAsia="NSimSun" w:cs="Calibri" w:cstheme="minorHAnsi"/>
          <w:iCs/>
          <w:kern w:val="2"/>
          <w:sz w:val="24"/>
          <w:szCs w:val="24"/>
          <w:lang w:eastAsia="zh-CN" w:bidi="hi-IN"/>
        </w:rPr>
        <w:t>Sanoku</w:t>
      </w:r>
    </w:p>
    <w:p>
      <w:pPr>
        <w:pStyle w:val="ListParagraph"/>
        <w:ind w:left="993" w:hanging="0"/>
        <w:rPr>
          <w:rFonts w:cs="Calibri" w:cstheme="minorHAnsi"/>
          <w:sz w:val="24"/>
          <w:szCs w:val="24"/>
        </w:rPr>
      </w:pPr>
      <w:r>
        <w:rPr>
          <w:rFonts w:cs="Calibri" w:cstheme="minorHAnsi"/>
          <w:sz w:val="24"/>
          <w:szCs w:val="24"/>
        </w:rPr>
        <w:t xml:space="preserve">ul. </w:t>
      </w:r>
      <w:r>
        <w:rPr>
          <w:rFonts w:cs="Calibri" w:cstheme="minorHAnsi"/>
          <w:sz w:val="24"/>
          <w:szCs w:val="24"/>
        </w:rPr>
        <w:t>Witkiewicza 3</w:t>
      </w:r>
    </w:p>
    <w:p>
      <w:pPr>
        <w:pStyle w:val="ListParagraph"/>
        <w:ind w:left="993" w:hanging="0"/>
        <w:jc w:val="both"/>
        <w:rPr>
          <w:rFonts w:cs="Calibri" w:cstheme="minorHAnsi"/>
          <w:sz w:val="24"/>
          <w:szCs w:val="24"/>
        </w:rPr>
      </w:pPr>
      <w:r>
        <w:rPr>
          <w:rFonts w:cs="Calibri" w:cstheme="minorHAnsi"/>
          <w:sz w:val="24"/>
          <w:szCs w:val="24"/>
        </w:rPr>
        <w:t>3</w:t>
      </w:r>
      <w:r>
        <w:rPr>
          <w:rFonts w:cs="Calibri" w:cstheme="minorHAnsi"/>
          <w:sz w:val="24"/>
          <w:szCs w:val="24"/>
        </w:rPr>
        <w:t>8</w:t>
      </w:r>
      <w:r>
        <w:rPr>
          <w:rFonts w:cs="Calibri" w:cstheme="minorHAnsi"/>
          <w:sz w:val="24"/>
          <w:szCs w:val="24"/>
        </w:rPr>
        <w:t>-</w:t>
      </w:r>
      <w:r>
        <w:rPr>
          <w:rFonts w:cs="Calibri" w:cstheme="minorHAnsi"/>
          <w:sz w:val="24"/>
          <w:szCs w:val="24"/>
        </w:rPr>
        <w:t>500</w:t>
      </w:r>
      <w:r>
        <w:rPr>
          <w:rFonts w:cs="Calibri" w:cstheme="minorHAnsi"/>
          <w:sz w:val="24"/>
          <w:szCs w:val="24"/>
        </w:rPr>
        <w:t xml:space="preserve"> </w:t>
      </w:r>
      <w:r>
        <w:rPr>
          <w:rFonts w:cs="Calibri" w:cstheme="minorHAnsi"/>
          <w:sz w:val="24"/>
          <w:szCs w:val="24"/>
        </w:rPr>
        <w:t>Sanok</w:t>
      </w:r>
    </w:p>
    <w:p>
      <w:pPr>
        <w:pStyle w:val="ListParagraph"/>
        <w:ind w:left="993" w:hanging="0"/>
        <w:jc w:val="both"/>
        <w:rPr>
          <w:rFonts w:cs="Calibri" w:cstheme="minorHAnsi"/>
          <w:b/>
          <w:b/>
          <w:sz w:val="24"/>
          <w:szCs w:val="24"/>
        </w:rPr>
      </w:pPr>
      <w:r>
        <w:rPr>
          <w:rFonts w:cs="Calibri" w:cstheme="minorHAnsi"/>
          <w:sz w:val="24"/>
          <w:szCs w:val="24"/>
        </w:rPr>
        <w:t>(</w:t>
      </w:r>
      <w:r>
        <w:rPr>
          <w:rFonts w:cs="Calibri" w:cstheme="minorHAnsi"/>
          <w:bCs/>
          <w:sz w:val="24"/>
          <w:szCs w:val="24"/>
        </w:rPr>
        <w:t>w zamkniętej kopercie z dopiskiem:</w:t>
      </w:r>
      <w:r>
        <w:rPr>
          <w:rFonts w:cs="Calibri" w:cstheme="minorHAnsi"/>
          <w:sz w:val="24"/>
          <w:szCs w:val="24"/>
        </w:rPr>
        <w:t xml:space="preserve"> „</w:t>
      </w:r>
      <w:r>
        <w:rPr>
          <w:rFonts w:cs="Calibri" w:cstheme="minorHAnsi"/>
          <w:b/>
          <w:sz w:val="24"/>
          <w:szCs w:val="24"/>
        </w:rPr>
        <w:t xml:space="preserve">Zgłoszenie zewnętrzne – nie otwierać </w:t>
        <w:br/>
        <w:t>w sekretariacie”)</w:t>
      </w:r>
    </w:p>
    <w:p>
      <w:pPr>
        <w:pStyle w:val="ListParagraph"/>
        <w:numPr>
          <w:ilvl w:val="0"/>
          <w:numId w:val="3"/>
        </w:numPr>
        <w:spacing w:before="120" w:after="160"/>
        <w:ind w:left="993" w:hanging="284"/>
        <w:contextualSpacing/>
        <w:jc w:val="both"/>
        <w:rPr>
          <w:rFonts w:cs="Calibri" w:cstheme="minorHAnsi"/>
          <w:sz w:val="24"/>
          <w:szCs w:val="24"/>
        </w:rPr>
      </w:pPr>
      <w:r>
        <w:rPr>
          <w:rFonts w:cs="Calibri" w:cstheme="minorHAnsi"/>
          <w:sz w:val="24"/>
          <w:szCs w:val="24"/>
        </w:rPr>
        <w:t xml:space="preserve">wiadomość email: </w:t>
      </w:r>
      <w:r>
        <w:rPr>
          <w:rFonts w:cs="Calibri" w:cstheme="minorHAnsi"/>
          <w:sz w:val="24"/>
          <w:szCs w:val="24"/>
        </w:rPr>
        <w:t>sanok</w:t>
      </w:r>
      <w:hyperlink r:id="rId2">
        <w:r>
          <w:rPr>
            <w:rStyle w:val="Czeinternetowe"/>
            <w:rFonts w:cs="Calibri" w:cstheme="minorHAnsi"/>
            <w:color w:val="auto"/>
            <w:sz w:val="24"/>
            <w:szCs w:val="24"/>
            <w:u w:val="none"/>
          </w:rPr>
          <w:t>@rz.policja.gov.pl</w:t>
        </w:r>
      </w:hyperlink>
      <w:r>
        <w:rPr>
          <w:rFonts w:cs="Calibri" w:cstheme="minorHAnsi"/>
          <w:sz w:val="24"/>
          <w:szCs w:val="24"/>
        </w:rPr>
        <w:t xml:space="preserve"> o tytule „</w:t>
      </w:r>
      <w:r>
        <w:rPr>
          <w:rFonts w:cs="Calibri" w:cstheme="minorHAnsi"/>
          <w:b/>
          <w:sz w:val="24"/>
          <w:szCs w:val="24"/>
        </w:rPr>
        <w:t xml:space="preserve">Zgłoszenie zewnętrzne” </w:t>
        <w:br/>
      </w:r>
      <w:r>
        <w:rPr>
          <w:rFonts w:cs="Calibri" w:cstheme="minorHAnsi"/>
          <w:sz w:val="24"/>
          <w:szCs w:val="24"/>
        </w:rPr>
        <w:t xml:space="preserve"> z możliwością wykorzystania formularza, który znajduje się do pobrania na stronie Biuletynu Informacji Publicznej Komendy Wojewódzkiej Policji w Rzeszowie: </w:t>
      </w:r>
    </w:p>
    <w:p>
      <w:pPr>
        <w:pStyle w:val="ListParagraph"/>
        <w:spacing w:before="120" w:after="160"/>
        <w:ind w:left="993" w:hanging="0"/>
        <w:contextualSpacing/>
        <w:rPr>
          <w:rFonts w:cs="Calibri" w:cstheme="minorHAnsi"/>
          <w:sz w:val="24"/>
          <w:szCs w:val="24"/>
        </w:rPr>
      </w:pPr>
      <w:r>
        <w:rPr>
          <w:rStyle w:val="Czeinternetowe"/>
          <w:rFonts w:cs="Calibri" w:cstheme="minorHAnsi"/>
          <w:sz w:val="24"/>
          <w:szCs w:val="24"/>
        </w:rPr>
        <w:t>https://sanok.bip.policja.gov.pl/</w:t>
      </w:r>
      <w:r>
        <w:rPr>
          <w:rFonts w:cs="Calibri" w:cstheme="minorHAnsi"/>
          <w:sz w:val="24"/>
          <w:szCs w:val="24"/>
        </w:rPr>
        <w:t xml:space="preserve"> w zakładce Sygnaliści.</w:t>
      </w:r>
    </w:p>
    <w:p>
      <w:pPr>
        <w:pStyle w:val="ListParagraph"/>
        <w:numPr>
          <w:ilvl w:val="0"/>
          <w:numId w:val="3"/>
        </w:numPr>
        <w:spacing w:before="120" w:after="160"/>
        <w:ind w:left="993" w:hanging="284"/>
        <w:contextualSpacing/>
        <w:jc w:val="both"/>
        <w:rPr>
          <w:rFonts w:cs="Calibri" w:cstheme="minorHAnsi"/>
          <w:sz w:val="24"/>
          <w:szCs w:val="24"/>
        </w:rPr>
      </w:pPr>
      <w:r>
        <w:rPr>
          <w:rFonts w:cs="Calibri" w:cstheme="minorHAnsi"/>
          <w:sz w:val="24"/>
          <w:szCs w:val="24"/>
        </w:rPr>
        <w:t xml:space="preserve">zgłoszenia ustnego można dokonać podczas bezpośredniego spotkania z osobą upoważnioną przez Komendanta </w:t>
      </w:r>
      <w:r>
        <w:rPr>
          <w:rFonts w:cs="Calibri" w:cstheme="minorHAnsi"/>
          <w:sz w:val="24"/>
          <w:szCs w:val="24"/>
        </w:rPr>
        <w:t>Powiatowego</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po uprzednim zawnioskowaniu o organizację takiego spotkania, przy wykorzystaniu wniosku</w:t>
        <w:br/>
        <w:t xml:space="preserve"> o dokonanie ustnego zgłoszenia (do pobrania na stronie Biuletynu Informacji Publicznej Komendy </w:t>
      </w:r>
      <w:r>
        <w:rPr>
          <w:rFonts w:cs="Calibri" w:cstheme="minorHAnsi"/>
          <w:sz w:val="24"/>
          <w:szCs w:val="24"/>
        </w:rPr>
        <w:t>Powiatowej</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w:t>
      </w:r>
    </w:p>
    <w:p>
      <w:pPr>
        <w:pStyle w:val="ListParagraph"/>
        <w:spacing w:before="120" w:after="160"/>
        <w:ind w:left="993" w:hanging="0"/>
        <w:contextualSpacing/>
        <w:jc w:val="both"/>
        <w:rPr>
          <w:rFonts w:cs="Calibri" w:cstheme="minorHAnsi"/>
          <w:sz w:val="24"/>
          <w:szCs w:val="24"/>
        </w:rPr>
      </w:pPr>
      <w:hyperlink r:id="rId3">
        <w:r>
          <w:rPr>
            <w:rStyle w:val="Czeinternetowe"/>
            <w:rFonts w:cs="Calibri" w:cstheme="minorHAnsi"/>
            <w:sz w:val="24"/>
            <w:szCs w:val="24"/>
          </w:rPr>
          <w:t>https://sanok.bip.policja.gov.pl/</w:t>
        </w:r>
      </w:hyperlink>
      <w:r>
        <w:rPr>
          <w:rFonts w:cs="Calibri" w:cstheme="minorHAnsi"/>
          <w:sz w:val="24"/>
          <w:szCs w:val="24"/>
        </w:rPr>
        <w:t xml:space="preserve"> w zakładce Sygnaliści) i przesłaniu go jako załącznika wiadomości email: </w:t>
      </w:r>
      <w:r>
        <w:rPr>
          <w:rFonts w:cs="Calibri" w:cstheme="minorHAnsi"/>
          <w:sz w:val="24"/>
          <w:szCs w:val="24"/>
        </w:rPr>
        <w:t>sanok</w:t>
      </w:r>
      <w:hyperlink r:id="rId4">
        <w:r>
          <w:rPr>
            <w:rStyle w:val="Czeinternetowe"/>
            <w:rFonts w:cs="Calibri" w:cstheme="minorHAnsi"/>
            <w:color w:val="auto"/>
            <w:sz w:val="24"/>
            <w:szCs w:val="24"/>
            <w:u w:val="none"/>
          </w:rPr>
          <w:t>@rz.policja.gov.pl</w:t>
        </w:r>
      </w:hyperlink>
      <w:r>
        <w:rPr>
          <w:rFonts w:cs="Calibri" w:cstheme="minorHAnsi"/>
          <w:sz w:val="24"/>
          <w:szCs w:val="24"/>
        </w:rPr>
        <w:t xml:space="preserve">  o tytule </w:t>
      </w:r>
      <w:r>
        <w:rPr>
          <w:rFonts w:cs="Calibri" w:cstheme="minorHAnsi"/>
          <w:b/>
          <w:sz w:val="24"/>
          <w:szCs w:val="24"/>
        </w:rPr>
        <w:t>„Zgłoszenie zewnętrzne”.</w:t>
      </w:r>
    </w:p>
    <w:p>
      <w:pPr>
        <w:pStyle w:val="ListParagraph"/>
        <w:numPr>
          <w:ilvl w:val="0"/>
          <w:numId w:val="3"/>
        </w:numPr>
        <w:spacing w:before="120" w:after="160"/>
        <w:ind w:left="993" w:hanging="284"/>
        <w:contextualSpacing/>
        <w:jc w:val="both"/>
        <w:rPr>
          <w:rFonts w:cs="Calibri" w:cstheme="minorHAnsi"/>
          <w:sz w:val="24"/>
          <w:szCs w:val="24"/>
        </w:rPr>
      </w:pPr>
      <w:r>
        <w:rPr>
          <w:rFonts w:cs="Calibri" w:cstheme="minorHAnsi"/>
          <w:spacing w:val="-8"/>
          <w:sz w:val="24"/>
          <w:szCs w:val="24"/>
        </w:rPr>
        <w:t xml:space="preserve">Zgłoszenie </w:t>
      </w:r>
      <w:r>
        <w:rPr>
          <w:rFonts w:cs="Calibri" w:cstheme="minorHAnsi"/>
          <w:b/>
          <w:spacing w:val="-8"/>
          <w:sz w:val="24"/>
          <w:szCs w:val="24"/>
        </w:rPr>
        <w:t>nie może</w:t>
      </w:r>
      <w:r>
        <w:rPr>
          <w:rFonts w:cs="Calibri" w:cstheme="minorHAnsi"/>
          <w:spacing w:val="-8"/>
          <w:sz w:val="24"/>
          <w:szCs w:val="24"/>
        </w:rPr>
        <w:t xml:space="preserve"> zostać przekazane anonimowo.</w:t>
      </w:r>
    </w:p>
    <w:p>
      <w:pPr>
        <w:pStyle w:val="ListParagraph"/>
        <w:spacing w:before="120" w:after="160"/>
        <w:ind w:left="993" w:hanging="0"/>
        <w:contextualSpacing/>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Warunki objęcia sygnalisty ochroną:</w:t>
      </w:r>
    </w:p>
    <w:p>
      <w:pPr>
        <w:pStyle w:val="ListParagraph"/>
        <w:numPr>
          <w:ilvl w:val="0"/>
          <w:numId w:val="5"/>
        </w:numPr>
        <w:spacing w:lineRule="auto" w:line="240" w:before="0" w:after="0"/>
        <w:ind w:left="993" w:hanging="284"/>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 </w:t>
      </w:r>
      <w:r>
        <w:rPr>
          <w:rFonts w:eastAsia="Times New Roman" w:cs="Calibri" w:cstheme="minorHAnsi"/>
          <w:sz w:val="24"/>
          <w:szCs w:val="24"/>
          <w:lang w:eastAsia="pl-PL"/>
        </w:rPr>
        <w:t xml:space="preserve">Sygnalista podlega ochronie od chwili dokonania zgłoszenia lub ujawnienia publicznego, pod warunkiem że miał uzasadnione podstawy sądzić, że informacja będąca przedmiotem zgłoszenia lub ujawnienia publicznego jest prawdziwa </w:t>
        <w:br/>
        <w:t>w momencie dokonywania zgłoszenia lub ujawnienia publicznego i że stanowi informację o naruszeniu prawa.</w:t>
      </w:r>
    </w:p>
    <w:p>
      <w:pPr>
        <w:pStyle w:val="ListParagraph"/>
        <w:jc w:val="both"/>
        <w:rPr>
          <w:rFonts w:cs="Calibri" w:cstheme="minorHAnsi"/>
          <w:sz w:val="24"/>
          <w:szCs w:val="24"/>
        </w:rPr>
      </w:pPr>
      <w:r>
        <w:rPr>
          <w:rFonts w:cs="Calibri" w:cstheme="minorHAnsi"/>
          <w:sz w:val="24"/>
          <w:szCs w:val="24"/>
        </w:rPr>
      </w:r>
    </w:p>
    <w:p>
      <w:pPr>
        <w:pStyle w:val="ListParagraph"/>
        <w:numPr>
          <w:ilvl w:val="0"/>
          <w:numId w:val="4"/>
        </w:numPr>
        <w:ind w:left="993" w:hanging="284"/>
        <w:jc w:val="both"/>
        <w:rPr>
          <w:rFonts w:cs="Calibri" w:cstheme="minorHAnsi"/>
          <w:sz w:val="24"/>
          <w:szCs w:val="24"/>
        </w:rPr>
      </w:pPr>
      <w:r>
        <w:rPr>
          <w:rFonts w:cs="Calibri" w:cstheme="minorHAnsi"/>
          <w:sz w:val="24"/>
          <w:szCs w:val="24"/>
        </w:rPr>
        <w:t xml:space="preserve">Ochroną objęty jest sygnalista będący osobą fizyczną w przypadku zgłoszenia lub ujawnienia publicznego informacji o naruszeniu prawa uzyskanej w kontekście związanym z pracą, również przed nawiązaniem stosunku pracy lub innego stosunku prawnego stanowiącego podstawę świadczenia pracy lub usług lub pełnienia funkcji w podmiocie prawnym lub na rzecz tego podmiotu, lub pełnienia służby </w:t>
        <w:br/>
        <w:t>w podmiocie prawnym lub już po ich ustaniu.</w:t>
      </w:r>
    </w:p>
    <w:p>
      <w:pPr>
        <w:pStyle w:val="ListParagraph"/>
        <w:numPr>
          <w:ilvl w:val="0"/>
          <w:numId w:val="4"/>
        </w:numPr>
        <w:ind w:left="993" w:hanging="284"/>
        <w:jc w:val="both"/>
        <w:rPr>
          <w:rFonts w:cs="Calibri" w:cstheme="minorHAnsi"/>
          <w:sz w:val="24"/>
          <w:szCs w:val="24"/>
        </w:rPr>
      </w:pPr>
      <w:r>
        <w:rPr>
          <w:rFonts w:cs="Calibri" w:cstheme="minorHAnsi"/>
          <w:sz w:val="24"/>
          <w:szCs w:val="24"/>
        </w:rPr>
        <w:t xml:space="preserve">Prawo do ochrony na warunkach przynależnych sygnaliście przysługuje również  osobie pomagającej w dokonaniu zgłoszenia oraz osobie powiązanej z sygnalistą </w:t>
        <w:br/>
        <w:t xml:space="preserve">a także osobie prawnej lub innej jednostce organizacyjnej pomagającej sygnaliście lub z nim powiązanej, w szczególności stanowiącej własność sygnalisty lub go zatrudniającej. </w:t>
      </w:r>
    </w:p>
    <w:p>
      <w:pPr>
        <w:pStyle w:val="ListParagraph"/>
        <w:ind w:left="993" w:hanging="0"/>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Tryb postępowania w przypadku zgłoszenie zewnętrznego</w:t>
      </w:r>
    </w:p>
    <w:p>
      <w:pPr>
        <w:pStyle w:val="ListParagraph"/>
        <w:ind w:left="851" w:hanging="0"/>
        <w:jc w:val="both"/>
        <w:rPr>
          <w:rFonts w:cs="Calibri" w:cstheme="minorHAnsi"/>
          <w:sz w:val="24"/>
          <w:szCs w:val="24"/>
        </w:rPr>
      </w:pPr>
      <w:r>
        <w:rPr>
          <w:rFonts w:cs="Calibri" w:cstheme="minorHAnsi"/>
          <w:sz w:val="24"/>
          <w:szCs w:val="24"/>
        </w:rPr>
        <w:t xml:space="preserve">Informacje o trybie postępowania mającym zastosowanie w przypadku zgłoszenia zewnętrznego w Komendzie </w:t>
      </w:r>
      <w:r>
        <w:rPr>
          <w:rFonts w:cs="Calibri" w:cstheme="minorHAnsi"/>
          <w:sz w:val="24"/>
          <w:szCs w:val="24"/>
        </w:rPr>
        <w:t>Powiatowej</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w tym wymagany sposób wyjaśnienia informacji będących przedmiotem zgłoszenia lub przedstawienia dodatkowych informacji zostały określone w Procedurze przyjmowania zewnętrznych zgłoszeń naruszeń prawa w Komendzie </w:t>
      </w:r>
      <w:r>
        <w:rPr>
          <w:rFonts w:cs="Calibri" w:cstheme="minorHAnsi"/>
          <w:sz w:val="24"/>
          <w:szCs w:val="24"/>
        </w:rPr>
        <w:t>Powiatowej</w:t>
      </w:r>
      <w:r>
        <w:rPr>
          <w:rFonts w:cs="Calibri" w:cstheme="minorHAnsi"/>
          <w:sz w:val="24"/>
          <w:szCs w:val="24"/>
        </w:rPr>
        <w:t xml:space="preserve"> Policj</w:t>
      </w:r>
      <w:r>
        <w:rPr>
          <w:rFonts w:cs="Calibri" w:cstheme="minorHAnsi"/>
          <w:sz w:val="24"/>
          <w:szCs w:val="24"/>
        </w:rPr>
        <w:t>i</w:t>
      </w:r>
      <w:r>
        <w:rPr>
          <w:rFonts w:cs="Calibri" w:cstheme="minorHAnsi"/>
          <w:sz w:val="24"/>
          <w:szCs w:val="24"/>
        </w:rPr>
        <w:t xml:space="preserve"> w </w:t>
      </w:r>
      <w:r>
        <w:rPr>
          <w:rFonts w:cs="Calibri" w:cstheme="minorHAnsi"/>
          <w:sz w:val="24"/>
          <w:szCs w:val="24"/>
        </w:rPr>
        <w:t>Sanoku</w:t>
      </w:r>
      <w:r>
        <w:rPr>
          <w:rFonts w:cs="Calibri" w:cstheme="minorHAnsi"/>
          <w:sz w:val="24"/>
          <w:szCs w:val="24"/>
        </w:rPr>
        <w:t xml:space="preserve"> (zw. dalej Procedurą zgłoszeń zewnętrznych) </w:t>
      </w:r>
      <w:r>
        <w:rPr>
          <w:rFonts w:cs="Calibri" w:cstheme="minorHAnsi"/>
          <w:sz w:val="24"/>
          <w:szCs w:val="24"/>
        </w:rPr>
        <w:t>do pobrania na stronie BIP KPP w Sanoku.</w:t>
      </w:r>
      <w:r>
        <w:rPr>
          <w:rFonts w:cs="Calibri" w:cstheme="minorHAnsi"/>
          <w:sz w:val="24"/>
          <w:szCs w:val="24"/>
        </w:rPr>
        <w:t xml:space="preserve"> </w:t>
      </w:r>
    </w:p>
    <w:p>
      <w:pPr>
        <w:pStyle w:val="ListParagraph"/>
        <w:ind w:left="720" w:firstLine="273"/>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Termin przekazania informacji zwrotnej oraz rodzaju i zawartości takiej informacji</w:t>
      </w:r>
    </w:p>
    <w:p>
      <w:pPr>
        <w:pStyle w:val="ListParagraph"/>
        <w:numPr>
          <w:ilvl w:val="0"/>
          <w:numId w:val="6"/>
        </w:numPr>
        <w:ind w:left="993" w:hanging="284"/>
        <w:jc w:val="both"/>
        <w:rPr>
          <w:rFonts w:cs="Calibri" w:cstheme="minorHAnsi"/>
          <w:sz w:val="24"/>
          <w:szCs w:val="24"/>
        </w:rPr>
      </w:pPr>
      <w:r>
        <w:rPr>
          <w:rFonts w:cs="Calibri" w:cstheme="minorHAnsi"/>
          <w:color w:val="C00000"/>
          <w:sz w:val="24"/>
          <w:szCs w:val="24"/>
        </w:rPr>
        <w:t xml:space="preserve"> </w:t>
      </w: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przekazuje sygnaliście informację zwrotną w terminie nieprzekraczającym 3 miesięcy od dnia przyjęcia zgłoszenia zewnętrznego.</w:t>
      </w:r>
    </w:p>
    <w:p>
      <w:pPr>
        <w:pStyle w:val="ListParagraph"/>
        <w:numPr>
          <w:ilvl w:val="0"/>
          <w:numId w:val="6"/>
        </w:numPr>
        <w:ind w:left="993" w:hanging="284"/>
        <w:jc w:val="both"/>
        <w:rPr>
          <w:rFonts w:cs="Calibri" w:cstheme="minorHAnsi"/>
          <w:sz w:val="24"/>
          <w:szCs w:val="24"/>
        </w:rPr>
      </w:pPr>
      <w:r>
        <w:rPr>
          <w:rFonts w:cs="Calibri" w:cstheme="minorHAnsi"/>
          <w:sz w:val="24"/>
          <w:szCs w:val="24"/>
        </w:rPr>
        <w:t xml:space="preserve">W uzasadnionych przypadkach 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przekazuje sygnaliście informację zwrotną w terminie nieprzekraczającym </w:t>
        <w:br/>
        <w:t>6 miesięcy od dnia przyjęcia zgłoszenia zewnętrznego, po poinformowaniu o tym sygnalisty przed upływem terminu 3 miesięcy.</w:t>
      </w:r>
    </w:p>
    <w:p>
      <w:pPr>
        <w:pStyle w:val="ListParagraph"/>
        <w:numPr>
          <w:ilvl w:val="0"/>
          <w:numId w:val="6"/>
        </w:numPr>
        <w:ind w:left="993" w:hanging="284"/>
        <w:jc w:val="both"/>
        <w:rPr>
          <w:rFonts w:cs="Calibri" w:cstheme="minorHAnsi"/>
          <w:sz w:val="24"/>
          <w:szCs w:val="24"/>
        </w:rPr>
      </w:pP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informuje sygnalistę o ostatecznym wyniku postępowań wyjaśniających wszczętych na skutek zgłoszenia zewnętrznego.</w:t>
      </w:r>
    </w:p>
    <w:p>
      <w:pPr>
        <w:pStyle w:val="ListParagraph"/>
        <w:ind w:left="851" w:hanging="0"/>
        <w:jc w:val="both"/>
        <w:rPr>
          <w:rFonts w:cs="Calibri" w:cstheme="minorHAnsi"/>
          <w:sz w:val="24"/>
          <w:szCs w:val="24"/>
        </w:rPr>
      </w:pPr>
      <w:r>
        <w:rPr>
          <w:rFonts w:cs="Calibri" w:cstheme="minorHAnsi"/>
          <w:sz w:val="24"/>
          <w:szCs w:val="24"/>
        </w:rPr>
      </w:r>
    </w:p>
    <w:p>
      <w:pPr>
        <w:pStyle w:val="ListParagraph"/>
        <w:numPr>
          <w:ilvl w:val="0"/>
          <w:numId w:val="2"/>
        </w:numPr>
        <w:rPr>
          <w:rFonts w:cs="Calibri" w:cstheme="minorHAnsi"/>
          <w:b/>
          <w:b/>
          <w:sz w:val="24"/>
          <w:szCs w:val="24"/>
        </w:rPr>
      </w:pPr>
      <w:r>
        <w:rPr>
          <w:rFonts w:cs="Calibri" w:cstheme="minorHAnsi"/>
          <w:b/>
          <w:sz w:val="24"/>
          <w:szCs w:val="24"/>
        </w:rPr>
        <w:t>Zasady poufności mające zastosowanie do zgłoszeń zewnętrznych</w:t>
      </w:r>
    </w:p>
    <w:p>
      <w:pPr>
        <w:pStyle w:val="ListParagraph"/>
        <w:ind w:left="786" w:hanging="0"/>
        <w:jc w:val="both"/>
        <w:rPr>
          <w:rFonts w:cs="Calibri" w:cstheme="minorHAnsi"/>
          <w:sz w:val="24"/>
          <w:szCs w:val="24"/>
        </w:rPr>
      </w:pP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gwarantuje, że procedura przyjmowania zgłoszeń zewnętrznych oraz związane z przyjmowaniem zgłoszeń przetwarzanie danych osobowych:</w:t>
      </w:r>
    </w:p>
    <w:p>
      <w:pPr>
        <w:pStyle w:val="ListParagraph"/>
        <w:numPr>
          <w:ilvl w:val="0"/>
          <w:numId w:val="7"/>
        </w:numPr>
        <w:ind w:left="993" w:hanging="284"/>
        <w:jc w:val="both"/>
        <w:rPr>
          <w:rFonts w:cs="Calibri" w:cstheme="minorHAnsi"/>
          <w:b/>
          <w:b/>
          <w:sz w:val="24"/>
          <w:szCs w:val="24"/>
        </w:rPr>
      </w:pPr>
      <w:r>
        <w:rPr>
          <w:rFonts w:cs="Calibri" w:cstheme="minorHAnsi"/>
          <w:spacing w:val="-8"/>
          <w:sz w:val="24"/>
          <w:szCs w:val="24"/>
        </w:rPr>
        <w:t>uniemożliwiają uzyskanie dostępu do informacji objętych zgłoszeniem nieupoważnionym</w:t>
      </w:r>
      <w:r>
        <w:rPr>
          <w:rFonts w:cs="Calibri" w:cstheme="minorHAnsi"/>
          <w:sz w:val="24"/>
          <w:szCs w:val="24"/>
        </w:rPr>
        <w:t xml:space="preserve"> osobom,</w:t>
      </w:r>
    </w:p>
    <w:p>
      <w:pPr>
        <w:pStyle w:val="ListParagraph"/>
        <w:numPr>
          <w:ilvl w:val="0"/>
          <w:numId w:val="7"/>
        </w:numPr>
        <w:ind w:left="993" w:hanging="284"/>
        <w:jc w:val="both"/>
        <w:rPr>
          <w:rFonts w:cs="Calibri" w:cstheme="minorHAnsi"/>
          <w:b/>
          <w:b/>
          <w:sz w:val="24"/>
          <w:szCs w:val="24"/>
        </w:rPr>
      </w:pPr>
      <w:r>
        <w:rPr>
          <w:rFonts w:cs="Calibri" w:cstheme="minorHAnsi"/>
          <w:sz w:val="24"/>
          <w:szCs w:val="24"/>
        </w:rPr>
        <w:t>zapewniają ochronę poufności tożsamości sygnalisty oraz osoby, której dotyczy zgłoszenie.</w:t>
      </w:r>
    </w:p>
    <w:p>
      <w:pPr>
        <w:pStyle w:val="Normal"/>
        <w:ind w:left="851" w:hanging="0"/>
        <w:jc w:val="both"/>
        <w:rPr>
          <w:rFonts w:cs="Calibri" w:cstheme="minorHAnsi"/>
          <w:sz w:val="24"/>
          <w:szCs w:val="24"/>
        </w:rPr>
      </w:pPr>
      <w:r>
        <w:rPr>
          <w:rFonts w:cs="Calibri" w:cstheme="minorHAnsi"/>
          <w:sz w:val="24"/>
          <w:szCs w:val="24"/>
        </w:rPr>
        <w:t>Ochrona poufności, dotyczy informacji, na podstawie których można bezpośrednio lub pośrednio zidentyfikować tożsamość sygnalisty oraz osoby, której dotyczy zgłoszenie.</w:t>
      </w:r>
    </w:p>
    <w:p>
      <w:pPr>
        <w:pStyle w:val="ListParagraph"/>
        <w:numPr>
          <w:ilvl w:val="0"/>
          <w:numId w:val="2"/>
        </w:numPr>
        <w:jc w:val="both"/>
        <w:rPr>
          <w:rFonts w:cs="Calibri" w:cstheme="minorHAnsi"/>
          <w:b/>
          <w:b/>
          <w:sz w:val="24"/>
          <w:szCs w:val="24"/>
        </w:rPr>
      </w:pPr>
      <w:r>
        <w:rPr>
          <w:rFonts w:cs="Calibri" w:cstheme="minorHAnsi"/>
          <w:b/>
          <w:sz w:val="24"/>
          <w:szCs w:val="24"/>
        </w:rPr>
        <w:t>Zasady przetwarzania danych osobowych</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Ochrona poufności: </w:t>
      </w:r>
      <w:r>
        <w:rPr>
          <w:rFonts w:cs="Calibri" w:cstheme="minorHAnsi"/>
          <w:sz w:val="24"/>
          <w:szCs w:val="24"/>
        </w:rPr>
        <w:t xml:space="preserve">Administrator - 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zapewnia, że dostęp do danych osobowych sygnalisty uzyskują wyłącznie osoby upoważnione. </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Zgoda na ujawnienie tożsamości: </w:t>
      </w:r>
      <w:r>
        <w:rPr>
          <w:rFonts w:cs="Calibri"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Wyjątek dotyczący zgody: </w:t>
      </w:r>
      <w:r>
        <w:rPr>
          <w:rFonts w:cs="Calibri"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Niezbędność i minimalizacja: </w:t>
      </w:r>
      <w:r>
        <w:rPr>
          <w:rFonts w:cs="Calibri"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Przechowywanie i usuwanie danych: </w:t>
      </w:r>
      <w:r>
        <w:rPr>
          <w:rFonts w:cs="Calibri" w:cstheme="minorHAnsi"/>
          <w:sz w:val="24"/>
          <w:szCs w:val="24"/>
        </w:rPr>
        <w:t xml:space="preserve">Administrator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sądowo-administracyjnych. </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Informowanie osób wskazanych w zgłoszeniu: </w:t>
      </w:r>
      <w:r>
        <w:rPr>
          <w:rFonts w:cs="Calibri" w:cstheme="minorHAnsi"/>
          <w:sz w:val="24"/>
          <w:szCs w:val="24"/>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Ograniczenie w realizacji prawa dostępu do danych osobowych: </w:t>
      </w:r>
      <w:r>
        <w:rPr>
          <w:rFonts w:cs="Calibri" w:cstheme="minorHAnsi"/>
          <w:bCs/>
          <w:sz w:val="24"/>
          <w:szCs w:val="24"/>
        </w:rPr>
        <w:t>A</w:t>
      </w:r>
      <w:r>
        <w:rPr>
          <w:rFonts w:cs="Calibri" w:cstheme="minorHAnsi"/>
          <w:sz w:val="24"/>
          <w:szCs w:val="24"/>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Zasady dotyczące przetwarzania danych osobowych: </w:t>
      </w:r>
      <w:r>
        <w:rPr>
          <w:rFonts w:cs="Calibri" w:cstheme="minorHAnsi"/>
          <w:sz w:val="24"/>
          <w:szCs w:val="24"/>
        </w:rPr>
        <w:t xml:space="preserve">Administrator zapewnia, że dane osobowe będą: przetwarzane zgodnie z prawem, rzetelnie i przejrzyście (zasada zgodności z prawem, rzetelności i przejrzystości z art. 5 ust. 1 lit. a) RODO); </w:t>
      </w:r>
      <w:r>
        <w:rPr>
          <w:rFonts w:cs="Calibri" w:cstheme="minorHAnsi"/>
          <w:spacing w:val="-8"/>
          <w:sz w:val="24"/>
          <w:szCs w:val="24"/>
        </w:rPr>
        <w:t>zbierane w konkretnych, wyraźnych i prawnie uzasadnionych celach i nieprzetwarzane</w:t>
      </w:r>
      <w:r>
        <w:rPr>
          <w:rFonts w:cs="Calibri" w:cstheme="minorHAnsi"/>
          <w:sz w:val="24"/>
          <w:szCs w:val="24"/>
        </w:rPr>
        <w:t xml:space="preserve"> dalej w sposób niezgodny z tymi celami (zasada ograniczenia celu z art. 5 ust. 1 lit. b) RODO); adekwatne, stosowne, ograniczone do tego co niezbędne (zasada </w:t>
      </w:r>
      <w:r>
        <w:rPr>
          <w:rFonts w:cs="Calibri" w:cstheme="minorHAnsi"/>
          <w:spacing w:val="-6"/>
          <w:sz w:val="24"/>
          <w:szCs w:val="24"/>
        </w:rPr>
        <w:t>minimalizacji z art. 5 ust. 1 lit. c) RODO); prawidłowe i w razie potrzeby uaktualniane</w:t>
      </w:r>
      <w:r>
        <w:rPr>
          <w:rFonts w:cs="Calibri"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Pr>
          <w:rFonts w:cs="Calibri" w:cstheme="minorHAnsi"/>
          <w:i/>
          <w:sz w:val="24"/>
          <w:szCs w:val="24"/>
        </w:rPr>
        <w:t>zasada integralności i poufności z art. 5 ust. 1 lit. f) RODO</w:t>
      </w:r>
      <w:r>
        <w:rPr>
          <w:rFonts w:cs="Calibri" w:cstheme="minorHAnsi"/>
          <w:sz w:val="24"/>
          <w:szCs w:val="24"/>
        </w:rPr>
        <w:t>).</w:t>
      </w:r>
    </w:p>
    <w:p>
      <w:pPr>
        <w:pStyle w:val="ListParagraph"/>
        <w:numPr>
          <w:ilvl w:val="0"/>
          <w:numId w:val="11"/>
        </w:numPr>
        <w:spacing w:lineRule="auto" w:line="276" w:before="0" w:after="0"/>
        <w:ind w:left="993" w:hanging="284"/>
        <w:contextualSpacing/>
        <w:jc w:val="both"/>
        <w:rPr>
          <w:rFonts w:cs="Calibri" w:cstheme="minorHAnsi"/>
          <w:b/>
          <w:b/>
          <w:bCs/>
          <w:sz w:val="24"/>
          <w:szCs w:val="24"/>
        </w:rPr>
      </w:pPr>
      <w:r>
        <w:rPr>
          <w:rFonts w:cs="Calibri" w:cstheme="minorHAnsi"/>
          <w:b/>
          <w:bCs/>
          <w:sz w:val="24"/>
          <w:szCs w:val="24"/>
        </w:rPr>
        <w:t xml:space="preserve">Realizacja obowiązku informacyjnego wobec sygnalisty: </w:t>
      </w:r>
      <w:r>
        <w:rPr>
          <w:rFonts w:cs="Calibri" w:cstheme="minorHAnsi"/>
          <w:bCs/>
          <w:sz w:val="24"/>
          <w:szCs w:val="24"/>
        </w:rPr>
        <w:t xml:space="preserve">klauzula informacyjna RODO stanowi załącznik </w:t>
      </w:r>
      <w:r>
        <w:rPr>
          <w:rFonts w:cs="Calibri" w:cstheme="minorHAnsi"/>
          <w:bCs/>
          <w:sz w:val="24"/>
          <w:szCs w:val="24"/>
        </w:rPr>
        <w:t>nr 4</w:t>
      </w:r>
      <w:r>
        <w:rPr>
          <w:rFonts w:cs="Calibri" w:cstheme="minorHAnsi"/>
          <w:bCs/>
          <w:sz w:val="24"/>
          <w:szCs w:val="24"/>
        </w:rPr>
        <w:t xml:space="preserve"> do </w:t>
      </w:r>
      <w:r>
        <w:rPr>
          <w:rFonts w:cs="Calibri" w:cstheme="minorHAnsi"/>
          <w:bCs/>
          <w:i/>
          <w:sz w:val="24"/>
          <w:szCs w:val="24"/>
        </w:rPr>
        <w:t>Procedury zgłoszeń zewnętrznych.</w:t>
      </w:r>
    </w:p>
    <w:p>
      <w:pPr>
        <w:pStyle w:val="ListParagraph"/>
        <w:ind w:left="786" w:hanging="0"/>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Charakter działań następczych podejmowanych w związku ze zgłoszeniem zewnętrznym</w:t>
      </w:r>
    </w:p>
    <w:p>
      <w:pPr>
        <w:pStyle w:val="Normal"/>
        <w:ind w:left="851" w:firstLine="425"/>
        <w:jc w:val="both"/>
        <w:rPr>
          <w:rFonts w:cs="Calibri" w:cstheme="minorHAnsi"/>
          <w:sz w:val="24"/>
          <w:szCs w:val="24"/>
        </w:rPr>
      </w:pPr>
      <w:r>
        <w:rPr>
          <w:rFonts w:cs="Calibri" w:cstheme="minorHAnsi"/>
          <w:sz w:val="24"/>
          <w:szCs w:val="24"/>
        </w:rPr>
        <w:t xml:space="preserve">Po przyjęciu zgłoszenia zewnętrznego osoba upoważniona przez Komendanta </w:t>
      </w:r>
      <w:r>
        <w:rPr>
          <w:rFonts w:cs="Calibri" w:cstheme="minorHAnsi"/>
          <w:sz w:val="24"/>
          <w:szCs w:val="24"/>
        </w:rPr>
        <w:t>Powiatowego</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dokonuje wstępnej weryfikacji zgłoszenia </w:t>
      </w:r>
      <w:r>
        <w:rPr>
          <w:rFonts w:cs="Calibri" w:cstheme="minorHAnsi"/>
          <w:spacing w:val="-6"/>
          <w:sz w:val="24"/>
          <w:szCs w:val="24"/>
        </w:rPr>
        <w:t>zewnętrznego, polegającej na ustaleniu, czy zgłoszenie dotyczy informacji o naruszeniu</w:t>
      </w:r>
      <w:r>
        <w:rPr>
          <w:rFonts w:cs="Calibri" w:cstheme="minorHAnsi"/>
          <w:sz w:val="24"/>
          <w:szCs w:val="24"/>
        </w:rPr>
        <w:t xml:space="preserve"> prawa, oraz na ustaleniu, czy zgłoszenie dotyczy naruszeń prawa w dziedzinie należącej do zakresu działania Komendy </w:t>
      </w:r>
      <w:r>
        <w:rPr>
          <w:rFonts w:cs="Calibri" w:cstheme="minorHAnsi"/>
          <w:sz w:val="24"/>
          <w:szCs w:val="24"/>
        </w:rPr>
        <w:t>Powiatowej</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a jeżeli nie należy - na ustaleniu organu publicznego właściwego do podjęcia działań następczych</w:t>
      </w:r>
    </w:p>
    <w:p>
      <w:pPr>
        <w:pStyle w:val="Normal"/>
        <w:ind w:left="851" w:firstLine="425"/>
        <w:jc w:val="both"/>
        <w:rPr>
          <w:rFonts w:cs="Calibri" w:cstheme="minorHAnsi"/>
          <w:sz w:val="24"/>
          <w:szCs w:val="24"/>
        </w:rPr>
      </w:pP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podejmuje działania następcze </w:t>
        <w:br/>
        <w:t xml:space="preserve">w celu oceny prawdziwości  informacji zawartych w zgłoszeniu zewnętrznym oraz </w:t>
        <w:br/>
        <w:t xml:space="preserve">w celu przeciwdziałania naruszeniu prawa będącemu przedmiotem zgłoszenia. Działaniami tymi są w szczególności: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w:t>
        <w:br/>
        <w:t>i podejmowania działań następczych.</w:t>
      </w:r>
    </w:p>
    <w:p>
      <w:pPr>
        <w:pStyle w:val="Normal"/>
        <w:ind w:left="851" w:firstLine="425"/>
        <w:jc w:val="both"/>
        <w:rPr>
          <w:rFonts w:cs="Calibri" w:cstheme="minorHAnsi"/>
          <w:sz w:val="24"/>
          <w:szCs w:val="24"/>
        </w:rPr>
      </w:pPr>
      <w:r>
        <w:rPr>
          <w:rFonts w:cs="Calibri" w:cstheme="minorHAnsi"/>
          <w:sz w:val="24"/>
          <w:szCs w:val="24"/>
        </w:rPr>
        <w:t xml:space="preserve">Jeżeli zgłoszenie zewnętrzne nie należy do zakresu działania Komendy </w:t>
      </w:r>
      <w:r>
        <w:rPr>
          <w:rFonts w:cs="Calibri" w:cstheme="minorHAnsi"/>
          <w:sz w:val="24"/>
          <w:szCs w:val="24"/>
        </w:rPr>
        <w:t>Powiatowej</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Komendant </w:t>
      </w:r>
      <w:r>
        <w:rPr>
          <w:rFonts w:cs="Calibri" w:cstheme="minorHAnsi"/>
          <w:sz w:val="24"/>
          <w:szCs w:val="24"/>
        </w:rPr>
        <w:t>Powiatowy</w:t>
      </w:r>
      <w:r>
        <w:rPr>
          <w:rFonts w:cs="Calibri" w:cstheme="minorHAnsi"/>
          <w:sz w:val="24"/>
          <w:szCs w:val="24"/>
        </w:rPr>
        <w:t xml:space="preserve"> Policji w  </w:t>
      </w:r>
      <w:r>
        <w:rPr>
          <w:rFonts w:cs="Calibri" w:cstheme="minorHAnsi"/>
          <w:sz w:val="24"/>
          <w:szCs w:val="24"/>
        </w:rPr>
        <w:t>Sanoku</w:t>
      </w:r>
      <w:r>
        <w:rPr>
          <w:rFonts w:cs="Calibri" w:cstheme="minorHAnsi"/>
          <w:sz w:val="24"/>
          <w:szCs w:val="24"/>
        </w:rPr>
        <w:t xml:space="preserve"> przekazuje zgłoszenie zewnętrzne niezwłocznie, nie później jednak niż w terminie 14 dni od dnia dokonania zgłoszenia, a w uzasadnionych przypadkach - nie później niż </w:t>
        <w:br/>
        <w:t>w terminie 30 dni, do organu publicznego właściwego do podjęcia działań następczych  oraz informuje o tym sygnalistę.</w:t>
      </w:r>
    </w:p>
    <w:p>
      <w:pPr>
        <w:pStyle w:val="ListParagraph"/>
        <w:numPr>
          <w:ilvl w:val="0"/>
          <w:numId w:val="2"/>
        </w:numPr>
        <w:jc w:val="both"/>
        <w:rPr>
          <w:rFonts w:cs="Calibri" w:cstheme="minorHAnsi"/>
          <w:b/>
          <w:b/>
          <w:sz w:val="24"/>
          <w:szCs w:val="24"/>
        </w:rPr>
      </w:pPr>
      <w:r>
        <w:rPr>
          <w:rFonts w:cs="Calibri" w:cstheme="minorHAnsi"/>
          <w:b/>
          <w:sz w:val="24"/>
          <w:szCs w:val="24"/>
        </w:rPr>
        <w:t>Środki ochrony prawnej i procedury służące ochronie sygnalisty oraz dostępności poufnej porady dla osób rozważających dokonanie zgłoszenia zewnętrznego</w:t>
      </w:r>
    </w:p>
    <w:p>
      <w:pPr>
        <w:pStyle w:val="ListParagraph"/>
        <w:ind w:left="851" w:hanging="0"/>
        <w:jc w:val="both"/>
        <w:rPr>
          <w:rFonts w:cs="Calibri" w:cstheme="minorHAnsi"/>
          <w:b/>
          <w:b/>
          <w:sz w:val="24"/>
          <w:szCs w:val="24"/>
        </w:rPr>
      </w:pPr>
      <w:r>
        <w:rPr>
          <w:rFonts w:cs="Calibri" w:cstheme="minorHAnsi"/>
          <w:b/>
          <w:sz w:val="24"/>
          <w:szCs w:val="24"/>
        </w:rPr>
      </w:r>
    </w:p>
    <w:p>
      <w:pPr>
        <w:pStyle w:val="ListParagraph"/>
        <w:numPr>
          <w:ilvl w:val="0"/>
          <w:numId w:val="8"/>
        </w:numPr>
        <w:ind w:left="1134" w:hanging="283"/>
        <w:jc w:val="both"/>
        <w:rPr>
          <w:rFonts w:cs="Calibri" w:cstheme="minorHAnsi"/>
          <w:sz w:val="24"/>
          <w:szCs w:val="24"/>
        </w:rPr>
      </w:pPr>
      <w:r>
        <w:rPr>
          <w:rFonts w:cs="Calibri" w:cstheme="minorHAnsi"/>
          <w:sz w:val="24"/>
          <w:szCs w:val="24"/>
        </w:rPr>
        <w:t xml:space="preserve">W ramach procedury zgłoszeń zewnętrznych Komendant </w:t>
      </w:r>
      <w:r>
        <w:rPr>
          <w:rFonts w:cs="Calibri" w:cstheme="minorHAnsi"/>
          <w:sz w:val="24"/>
          <w:szCs w:val="24"/>
        </w:rPr>
        <w:t>Powiatowy</w:t>
      </w:r>
      <w:r>
        <w:rPr>
          <w:rFonts w:cs="Calibri" w:cstheme="minorHAnsi"/>
          <w:sz w:val="24"/>
          <w:szCs w:val="24"/>
        </w:rPr>
        <w:t xml:space="preserve"> Policji </w:t>
        <w:br/>
        <w:t xml:space="preserve">w </w:t>
      </w:r>
      <w:r>
        <w:rPr>
          <w:rFonts w:cs="Calibri" w:cstheme="minorHAnsi"/>
          <w:sz w:val="24"/>
          <w:szCs w:val="24"/>
        </w:rPr>
        <w:t>Sanoku</w:t>
      </w:r>
      <w:r>
        <w:rPr>
          <w:rFonts w:cs="Calibri" w:cstheme="minorHAnsi"/>
          <w:sz w:val="24"/>
          <w:szCs w:val="24"/>
        </w:rPr>
        <w:t xml:space="preserve">  przestrzega dyspozycji zawartych w przepisach Rozdziału 2 ustawy.</w:t>
      </w:r>
    </w:p>
    <w:p>
      <w:pPr>
        <w:pStyle w:val="ListParagraph"/>
        <w:numPr>
          <w:ilvl w:val="0"/>
          <w:numId w:val="8"/>
        </w:numPr>
        <w:ind w:left="1134" w:hanging="283"/>
        <w:jc w:val="both"/>
        <w:rPr>
          <w:rFonts w:cs="Calibri" w:cstheme="minorHAnsi"/>
          <w:sz w:val="24"/>
          <w:szCs w:val="24"/>
        </w:rPr>
      </w:pPr>
      <w:r>
        <w:rPr>
          <w:rFonts w:cs="Calibri" w:cstheme="minorHAnsi"/>
          <w:sz w:val="24"/>
          <w:szCs w:val="24"/>
        </w:rPr>
        <w:t xml:space="preserve">Wobec sygnalisty nie mogą być podejmowane działania odwetowe, które </w:t>
      </w:r>
      <w:r>
        <w:rPr>
          <w:rFonts w:cs="Calibri" w:cstheme="minorHAnsi"/>
          <w:spacing w:val="-6"/>
          <w:sz w:val="24"/>
          <w:szCs w:val="24"/>
        </w:rPr>
        <w:t>spowodowane zgłoszeniem lub ujawnieniem publicznym polegają na bezpośrednim</w:t>
      </w:r>
      <w:r>
        <w:rPr>
          <w:rFonts w:cs="Calibri"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pPr>
        <w:pStyle w:val="ListParagraph"/>
        <w:numPr>
          <w:ilvl w:val="0"/>
          <w:numId w:val="8"/>
        </w:numPr>
        <w:ind w:left="1134" w:hanging="283"/>
        <w:jc w:val="both"/>
        <w:rPr>
          <w:rFonts w:cs="Calibri" w:cstheme="minorHAnsi"/>
          <w:sz w:val="24"/>
          <w:szCs w:val="24"/>
        </w:rPr>
      </w:pPr>
      <w:r>
        <w:rPr>
          <w:rFonts w:cs="Calibri" w:cstheme="minorHAnsi"/>
          <w:sz w:val="24"/>
          <w:szCs w:val="24"/>
        </w:rPr>
        <w:t xml:space="preserve">Sygnalista, wobec którego dopuszczono się działań odwetowych, ma prawo do odszkodowania w wysokości nie niższej niż przeciętne miesięczne wynagrodzenie </w:t>
        <w:br/>
        <w:t xml:space="preserve">w gospodarce narodowej w poprzednim roku, ogłaszane do celów emerytalnych </w:t>
        <w:br/>
        <w:t xml:space="preserve">w Dzienniku Urzędowym Rzeczypospolitej Polskiej „Monitor Polski” przez Prezesa Głównego Urzędu Statystycznego, lub prawo do zadośćuczynienia.  </w:t>
      </w:r>
    </w:p>
    <w:p>
      <w:pPr>
        <w:pStyle w:val="ListParagraph"/>
        <w:numPr>
          <w:ilvl w:val="0"/>
          <w:numId w:val="8"/>
        </w:numPr>
        <w:ind w:left="1134" w:hanging="283"/>
        <w:jc w:val="both"/>
        <w:rPr>
          <w:rFonts w:cs="Calibri" w:cstheme="minorHAnsi"/>
          <w:sz w:val="24"/>
          <w:szCs w:val="24"/>
        </w:rPr>
      </w:pPr>
      <w:r>
        <w:rPr>
          <w:rFonts w:cs="Calibri" w:cstheme="minorHAnsi"/>
          <w:sz w:val="24"/>
          <w:szCs w:val="24"/>
        </w:rPr>
        <w:t xml:space="preserve">Osoba rozważająca dokonanie zgłoszenia zewnętrznego może uzyskać poufną poradę poprzez  kontakt telefoniczny  pod numerem telefonu: </w:t>
      </w:r>
      <w:r>
        <w:rPr>
          <w:rFonts w:cs="Calibri" w:cstheme="minorHAnsi"/>
          <w:b/>
          <w:sz w:val="24"/>
          <w:szCs w:val="24"/>
        </w:rPr>
        <w:t>4782</w:t>
      </w:r>
      <w:r>
        <w:rPr>
          <w:rFonts w:cs="Calibri" w:cstheme="minorHAnsi"/>
          <w:b/>
          <w:sz w:val="24"/>
          <w:szCs w:val="24"/>
        </w:rPr>
        <w:t>96</w:t>
      </w:r>
      <w:r>
        <w:rPr>
          <w:rFonts w:cs="Calibri" w:cstheme="minorHAnsi"/>
          <w:b/>
          <w:sz w:val="24"/>
          <w:szCs w:val="24"/>
        </w:rPr>
        <w:t>310</w:t>
      </w:r>
      <w:r>
        <w:rPr>
          <w:rFonts w:cs="Calibri" w:cstheme="minorHAnsi"/>
          <w:sz w:val="24"/>
          <w:szCs w:val="24"/>
        </w:rPr>
        <w:t xml:space="preserve"> lub </w:t>
      </w:r>
      <w:r>
        <w:rPr>
          <w:rFonts w:cs="Calibri" w:cstheme="minorHAnsi"/>
          <w:b/>
          <w:sz w:val="24"/>
          <w:szCs w:val="24"/>
        </w:rPr>
        <w:t>4782</w:t>
      </w:r>
      <w:r>
        <w:rPr>
          <w:rFonts w:cs="Calibri" w:cstheme="minorHAnsi"/>
          <w:b/>
          <w:sz w:val="24"/>
          <w:szCs w:val="24"/>
        </w:rPr>
        <w:t>96</w:t>
      </w:r>
      <w:r>
        <w:rPr>
          <w:rFonts w:cs="Calibri" w:cstheme="minorHAnsi"/>
          <w:b/>
          <w:sz w:val="24"/>
          <w:szCs w:val="24"/>
        </w:rPr>
        <w:t>311</w:t>
      </w:r>
    </w:p>
    <w:p>
      <w:pPr>
        <w:pStyle w:val="ListParagraph"/>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 xml:space="preserve">Warunki, na jakich sygnalista jest chroniony przed ponoszeniem odpowiedzialności za naruszenie poufności </w:t>
      </w:r>
    </w:p>
    <w:p>
      <w:pPr>
        <w:pStyle w:val="ListParagraph"/>
        <w:numPr>
          <w:ilvl w:val="0"/>
          <w:numId w:val="9"/>
        </w:numPr>
        <w:ind w:left="1134" w:hanging="283"/>
        <w:jc w:val="both"/>
        <w:rPr>
          <w:rFonts w:cs="Calibri" w:cstheme="minorHAnsi"/>
          <w:sz w:val="24"/>
          <w:szCs w:val="24"/>
        </w:rPr>
      </w:pPr>
      <w:r>
        <w:rPr>
          <w:rFonts w:cs="Calibri" w:cstheme="minorHAnsi"/>
          <w:sz w:val="24"/>
          <w:szCs w:val="24"/>
        </w:rPr>
        <w:t xml:space="preserve">Dokonanie zgłoszenia lub ujawnienia publicznego nie może stanowić podstawy </w:t>
      </w:r>
      <w:r>
        <w:rPr>
          <w:rFonts w:cs="Calibri" w:cstheme="minorHAnsi"/>
          <w:spacing w:val="-4"/>
          <w:sz w:val="24"/>
          <w:szCs w:val="24"/>
        </w:rPr>
        <w:t>odpowiedzialności, w tym odpowiedzialności dyscyplinarnej  lub odpowiedzialności</w:t>
      </w:r>
      <w:r>
        <w:rPr>
          <w:rFonts w:cs="Calibri" w:cstheme="minorHAnsi"/>
          <w:sz w:val="24"/>
          <w:szCs w:val="24"/>
        </w:rPr>
        <w:t xml:space="preserve"> za szkodę z tytułu naruszenia praw innych osób lub obowiązków określonych </w:t>
        <w:br/>
        <w:t>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pPr>
        <w:pStyle w:val="ListParagraph"/>
        <w:numPr>
          <w:ilvl w:val="0"/>
          <w:numId w:val="9"/>
        </w:numPr>
        <w:ind w:left="1134" w:hanging="283"/>
        <w:jc w:val="both"/>
        <w:rPr>
          <w:rFonts w:cs="Calibri" w:cstheme="minorHAnsi"/>
          <w:sz w:val="24"/>
          <w:szCs w:val="24"/>
        </w:rPr>
      </w:pPr>
      <w:r>
        <w:rPr>
          <w:rFonts w:cs="Calibri" w:cstheme="minorHAnsi"/>
          <w:sz w:val="24"/>
          <w:szCs w:val="24"/>
        </w:rPr>
        <w:t>W przypadku wszczęcia postępowania prawnego dotyczącego odpowiedzialności związanej z dokonaniem zgłoszenia lub ujawnienia publicznego, sygnalista może wystąpić o umorzenie takiego postępowania.</w:t>
      </w:r>
    </w:p>
    <w:p>
      <w:pPr>
        <w:pStyle w:val="ListParagraph"/>
        <w:rPr>
          <w:rFonts w:cs="Calibri" w:cstheme="minorHAnsi"/>
          <w:sz w:val="24"/>
          <w:szCs w:val="24"/>
        </w:rPr>
      </w:pPr>
      <w:r>
        <w:rPr>
          <w:rFonts w:cs="Calibri" w:cstheme="minorHAnsi"/>
          <w:sz w:val="24"/>
          <w:szCs w:val="24"/>
        </w:rPr>
      </w:r>
    </w:p>
    <w:p>
      <w:pPr>
        <w:pStyle w:val="ListParagraph"/>
        <w:numPr>
          <w:ilvl w:val="0"/>
          <w:numId w:val="9"/>
        </w:numPr>
        <w:ind w:left="1134" w:hanging="283"/>
        <w:jc w:val="both"/>
        <w:rPr>
          <w:rFonts w:cs="Calibri" w:cstheme="minorHAnsi"/>
          <w:sz w:val="24"/>
          <w:szCs w:val="24"/>
        </w:rPr>
      </w:pPr>
      <w:r>
        <w:rPr>
          <w:rFonts w:cs="Calibri" w:cstheme="minorHAnsi"/>
          <w:sz w:val="24"/>
          <w:szCs w:val="24"/>
        </w:rPr>
        <w:t xml:space="preserve">Ustawy nie stosuje się  i tym samym na podstawie jej przepisów </w:t>
      </w:r>
      <w:r>
        <w:rPr>
          <w:rFonts w:cs="Calibri" w:cstheme="minorHAnsi"/>
          <w:b/>
          <w:sz w:val="24"/>
          <w:szCs w:val="24"/>
        </w:rPr>
        <w:t>nie może zostać zniesiona odpowiedzialność</w:t>
      </w:r>
      <w:r>
        <w:rPr>
          <w:rFonts w:cs="Calibri" w:cstheme="minorHAnsi"/>
          <w:sz w:val="24"/>
          <w:szCs w:val="24"/>
        </w:rPr>
        <w:t xml:space="preserve"> za dokonanie zgłoszenia lub ujawnienia publicznego zawierającego informację objętą: </w:t>
      </w:r>
    </w:p>
    <w:p>
      <w:pPr>
        <w:pStyle w:val="ListParagraph"/>
        <w:spacing w:lineRule="auto" w:line="240" w:before="0" w:after="0"/>
        <w:ind w:left="1276" w:hanging="142"/>
        <w:contextualSpacing/>
        <w:jc w:val="both"/>
        <w:rPr>
          <w:rFonts w:eastAsia="Times New Roman" w:cs="Calibri" w:cstheme="minorHAnsi"/>
          <w:sz w:val="24"/>
          <w:szCs w:val="24"/>
          <w:lang w:eastAsia="pl-PL"/>
        </w:rPr>
      </w:pPr>
      <w:r>
        <w:rPr>
          <w:rFonts w:eastAsia="Times New Roman" w:cs="Calibri" w:cstheme="minorHAnsi"/>
          <w:sz w:val="24"/>
          <w:szCs w:val="24"/>
          <w:lang w:eastAsia="pl-PL"/>
        </w:rPr>
        <w:t>- przepisami o ochronie informacji niejawnych oraz innych informacji, które nie podlegają ujawnieniu z mocy przepisów prawa powszechnie obowiązującego ze względów bezpieczeństwa publicznego;</w:t>
      </w:r>
    </w:p>
    <w:p>
      <w:pPr>
        <w:pStyle w:val="Normal"/>
        <w:spacing w:lineRule="auto" w:line="240" w:before="0" w:after="0"/>
        <w:ind w:left="426" w:firstLine="708"/>
        <w:rPr>
          <w:rFonts w:eastAsia="Times New Roman" w:cs="Calibri" w:cstheme="minorHAnsi"/>
          <w:sz w:val="24"/>
          <w:szCs w:val="24"/>
          <w:lang w:eastAsia="pl-PL"/>
        </w:rPr>
      </w:pPr>
      <w:r>
        <w:rPr>
          <w:rFonts w:eastAsia="Times New Roman" w:cs="Calibri" w:cstheme="minorHAnsi"/>
          <w:sz w:val="24"/>
          <w:szCs w:val="24"/>
          <w:lang w:eastAsia="pl-PL"/>
        </w:rPr>
        <w:t>- tajemnicą zawodową zawodów medycznych oraz prawniczych;</w:t>
      </w:r>
    </w:p>
    <w:p>
      <w:pPr>
        <w:pStyle w:val="Normal"/>
        <w:spacing w:lineRule="auto" w:line="240" w:before="0" w:after="0"/>
        <w:ind w:left="426" w:firstLine="708"/>
        <w:rPr>
          <w:rFonts w:eastAsia="Times New Roman" w:cs="Calibri" w:cstheme="minorHAnsi"/>
          <w:sz w:val="24"/>
          <w:szCs w:val="24"/>
          <w:lang w:eastAsia="pl-PL"/>
        </w:rPr>
      </w:pPr>
      <w:r>
        <w:rPr>
          <w:rFonts w:eastAsia="Times New Roman" w:cs="Calibri" w:cstheme="minorHAnsi"/>
          <w:sz w:val="24"/>
          <w:szCs w:val="24"/>
          <w:lang w:eastAsia="pl-PL"/>
        </w:rPr>
        <w:t>- tajemnicą narady sędziowskiej;</w:t>
      </w:r>
    </w:p>
    <w:p>
      <w:pPr>
        <w:pStyle w:val="Normal"/>
        <w:spacing w:lineRule="auto" w:line="240" w:before="0" w:after="0"/>
        <w:ind w:left="1276" w:hanging="142"/>
        <w:jc w:val="both"/>
        <w:rPr>
          <w:rFonts w:eastAsia="Times New Roman" w:cs="Calibri" w:cstheme="minorHAnsi"/>
          <w:sz w:val="24"/>
          <w:szCs w:val="24"/>
          <w:lang w:eastAsia="pl-PL"/>
        </w:rPr>
      </w:pPr>
      <w:r>
        <w:rPr>
          <w:rFonts w:eastAsia="Times New Roman" w:cs="Calibri" w:cstheme="minorHAnsi"/>
          <w:spacing w:val="-6"/>
          <w:sz w:val="24"/>
          <w:szCs w:val="24"/>
          <w:lang w:eastAsia="pl-PL"/>
        </w:rPr>
        <w:t>- postępowaniem karnym - w zakresie tajemnicy postępowania przygotowawczego</w:t>
      </w:r>
      <w:r>
        <w:rPr>
          <w:rFonts w:eastAsia="Times New Roman" w:cs="Calibri" w:cstheme="minorHAnsi"/>
          <w:sz w:val="24"/>
          <w:szCs w:val="24"/>
          <w:lang w:eastAsia="pl-PL"/>
        </w:rPr>
        <w:t xml:space="preserve"> oraz tajemnicy rozprawy sądowej prowadzonej z wyłączeniem jawności.</w:t>
      </w:r>
    </w:p>
    <w:p>
      <w:pPr>
        <w:pStyle w:val="ListParagraph"/>
        <w:numPr>
          <w:ilvl w:val="0"/>
          <w:numId w:val="10"/>
        </w:numPr>
        <w:spacing w:lineRule="auto" w:line="240" w:before="0" w:after="0"/>
        <w:ind w:left="1276" w:hanging="425"/>
        <w:contextualSpacing/>
        <w:jc w:val="both"/>
        <w:rPr>
          <w:rFonts w:eastAsia="Times New Roman" w:cs="Calibri" w:cstheme="minorHAnsi"/>
          <w:sz w:val="24"/>
          <w:szCs w:val="24"/>
          <w:lang w:eastAsia="pl-PL"/>
        </w:rPr>
      </w:pPr>
      <w:r>
        <w:rPr>
          <w:rFonts w:cs="Calibri" w:cstheme="minorHAnsi"/>
          <w:sz w:val="24"/>
          <w:szCs w:val="24"/>
        </w:rPr>
        <w:t xml:space="preserve">Ustawy nie stosuje się do naruszeń prawa w zakresie zamówień w dziedzinach obronności i bezpieczeństwa w rozumieniu </w:t>
      </w:r>
      <w:hyperlink r:id="rId5">
        <w:r>
          <w:rPr>
            <w:rStyle w:val="Czeinternetowe"/>
            <w:rFonts w:cs="Calibri" w:cstheme="minorHAnsi"/>
            <w:color w:val="auto"/>
            <w:sz w:val="24"/>
            <w:szCs w:val="24"/>
            <w:u w:val="none"/>
          </w:rPr>
          <w:t>art. 7 pkt 36</w:t>
        </w:r>
      </w:hyperlink>
      <w:r>
        <w:rPr>
          <w:rFonts w:cs="Calibri" w:cstheme="minorHAnsi"/>
          <w:sz w:val="24"/>
          <w:szCs w:val="24"/>
        </w:rPr>
        <w:t xml:space="preserve"> ustawy z dnia 11 września 2019 r. - Prawo zamówień publicznych (Dz.U. z 2023 r. </w:t>
      </w:r>
      <w:hyperlink r:id="rId6">
        <w:r>
          <w:rPr>
            <w:rStyle w:val="Czeinternetowe"/>
            <w:rFonts w:cs="Calibri" w:cstheme="minorHAnsi"/>
            <w:color w:val="auto"/>
            <w:sz w:val="24"/>
            <w:szCs w:val="24"/>
            <w:u w:val="none"/>
          </w:rPr>
          <w:t>poz. 1605</w:t>
        </w:r>
      </w:hyperlink>
      <w:r>
        <w:rPr>
          <w:rFonts w:cs="Calibri" w:cstheme="minorHAnsi"/>
          <w:sz w:val="24"/>
          <w:szCs w:val="24"/>
        </w:rPr>
        <w:t xml:space="preserve"> i </w:t>
      </w:r>
      <w:hyperlink r:id="rId7">
        <w:r>
          <w:rPr>
            <w:rStyle w:val="Czeinternetowe"/>
            <w:rFonts w:cs="Calibri" w:cstheme="minorHAnsi"/>
            <w:color w:val="auto"/>
            <w:sz w:val="24"/>
            <w:szCs w:val="24"/>
            <w:u w:val="none"/>
          </w:rPr>
          <w:t>1720</w:t>
        </w:r>
      </w:hyperlink>
      <w:r>
        <w:rPr>
          <w:rFonts w:cs="Calibri"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8">
        <w:r>
          <w:rPr>
            <w:rStyle w:val="Czeinternetowe"/>
            <w:rFonts w:cs="Calibri" w:cstheme="minorHAnsi"/>
            <w:color w:val="auto"/>
            <w:sz w:val="24"/>
            <w:szCs w:val="24"/>
            <w:u w:val="none"/>
          </w:rPr>
          <w:t>poz. 1218</w:t>
        </w:r>
      </w:hyperlink>
      <w:r>
        <w:rPr>
          <w:rFonts w:cs="Calibri" w:cstheme="minorHAnsi"/>
          <w:sz w:val="24"/>
          <w:szCs w:val="24"/>
        </w:rPr>
        <w:t xml:space="preserve">) oraz innych środków podejmowanych w celu ochrony podstawowych lub istotnych interesów bezpieczeństwa państwa na podstawie </w:t>
      </w:r>
      <w:hyperlink r:id="rId9">
        <w:r>
          <w:rPr>
            <w:rStyle w:val="Czeinternetowe"/>
            <w:rFonts w:cs="Calibri" w:cstheme="minorHAnsi"/>
            <w:color w:val="auto"/>
            <w:sz w:val="24"/>
            <w:szCs w:val="24"/>
            <w:u w:val="none"/>
          </w:rPr>
          <w:t>art. 346</w:t>
        </w:r>
      </w:hyperlink>
      <w:r>
        <w:rPr>
          <w:rFonts w:cs="Calibri" w:cstheme="minorHAnsi"/>
          <w:sz w:val="24"/>
          <w:szCs w:val="24"/>
        </w:rPr>
        <w:t xml:space="preserve"> Traktatu o funkcjonowaniu Unii Europejskiej.</w:t>
      </w:r>
    </w:p>
    <w:p>
      <w:pPr>
        <w:pStyle w:val="Normal"/>
        <w:spacing w:lineRule="auto" w:line="240" w:before="0" w:after="0"/>
        <w:jc w:val="both"/>
        <w:rPr>
          <w:rFonts w:eastAsia="Times New Roman" w:cs="Calibri" w:cstheme="minorHAnsi"/>
          <w:sz w:val="24"/>
          <w:szCs w:val="24"/>
          <w:lang w:eastAsia="pl-PL"/>
        </w:rPr>
      </w:pPr>
      <w:r>
        <w:rPr>
          <w:rFonts w:eastAsia="Times New Roman" w:cs="Calibri" w:cstheme="minorHAnsi"/>
          <w:sz w:val="24"/>
          <w:szCs w:val="24"/>
          <w:lang w:eastAsia="pl-PL"/>
        </w:rPr>
      </w:r>
      <w:bookmarkStart w:id="0" w:name="_GoBack"/>
      <w:bookmarkStart w:id="1" w:name="_GoBack"/>
      <w:bookmarkEnd w:id="1"/>
    </w:p>
    <w:p>
      <w:pPr>
        <w:pStyle w:val="ListParagraph"/>
        <w:numPr>
          <w:ilvl w:val="0"/>
          <w:numId w:val="2"/>
        </w:numPr>
        <w:spacing w:lineRule="auto" w:line="240" w:before="0" w:after="0"/>
        <w:contextualSpacing/>
        <w:jc w:val="both"/>
        <w:rPr>
          <w:rFonts w:eastAsia="Times New Roman" w:cs="Calibri" w:cstheme="minorHAnsi"/>
          <w:b/>
          <w:b/>
          <w:sz w:val="24"/>
          <w:szCs w:val="24"/>
          <w:lang w:eastAsia="pl-PL"/>
        </w:rPr>
      </w:pPr>
      <w:r>
        <w:rPr>
          <w:rFonts w:eastAsia="Times New Roman" w:cs="Calibri" w:cstheme="minorHAnsi"/>
          <w:b/>
          <w:sz w:val="24"/>
          <w:szCs w:val="24"/>
          <w:lang w:eastAsia="pl-PL"/>
        </w:rPr>
        <w:t>Zachęta od skorzystania z procedury zgłoszeń wewnętrznych</w:t>
      </w:r>
    </w:p>
    <w:p>
      <w:pPr>
        <w:pStyle w:val="Normal"/>
        <w:spacing w:lineRule="auto" w:line="240" w:before="0" w:after="0"/>
        <w:ind w:firstLine="851"/>
        <w:jc w:val="both"/>
        <w:rPr>
          <w:rFonts w:eastAsia="Times New Roman" w:cs="Calibri" w:cstheme="minorHAnsi"/>
          <w:sz w:val="24"/>
          <w:szCs w:val="24"/>
          <w:lang w:eastAsia="pl-PL"/>
        </w:rPr>
      </w:pPr>
      <w:r>
        <w:rPr>
          <w:rFonts w:eastAsia="Times New Roman" w:cs="Calibri" w:cstheme="minorHAnsi"/>
          <w:sz w:val="24"/>
          <w:szCs w:val="24"/>
          <w:lang w:eastAsia="pl-PL"/>
        </w:rPr>
        <w:t>W przypadku, gdy naruszeniu prawa można skutecznie zaradzić w ramach struktury organizacyjnej podmiotu prawnego wobec którego sygnalista zamierza zgłosić lub ujawnić publicznie informację o naruszeniu prawa a nie zachodzi ryzyko działań odwetowych zasadne jest skorzystanie z procedury zgłoszeń wewnętrznych.</w:t>
      </w:r>
    </w:p>
    <w:p>
      <w:pPr>
        <w:pStyle w:val="Normal"/>
        <w:spacing w:lineRule="auto" w:line="240" w:before="0" w:after="0"/>
        <w:ind w:firstLine="851"/>
        <w:jc w:val="both"/>
        <w:rPr>
          <w:rFonts w:cs="Calibri" w:cstheme="minorHAnsi"/>
          <w:sz w:val="24"/>
          <w:szCs w:val="24"/>
        </w:rPr>
      </w:pPr>
      <w:r>
        <w:rPr>
          <w:rFonts w:cs="Calibri" w:cstheme="minorHAnsi"/>
          <w:sz w:val="24"/>
          <w:szCs w:val="24"/>
        </w:rPr>
      </w:r>
    </w:p>
    <w:p>
      <w:pPr>
        <w:pStyle w:val="ListParagraph"/>
        <w:numPr>
          <w:ilvl w:val="0"/>
          <w:numId w:val="2"/>
        </w:numPr>
        <w:jc w:val="both"/>
        <w:rPr>
          <w:rFonts w:cs="Calibri" w:cstheme="minorHAnsi"/>
          <w:b/>
          <w:b/>
          <w:sz w:val="24"/>
          <w:szCs w:val="24"/>
        </w:rPr>
      </w:pPr>
      <w:r>
        <w:rPr>
          <w:rFonts w:cs="Calibri" w:cstheme="minorHAnsi"/>
          <w:b/>
          <w:sz w:val="24"/>
          <w:szCs w:val="24"/>
        </w:rPr>
        <w:t>Dane kontaktowe Rzecznika Praw Obywatelskich</w:t>
      </w:r>
    </w:p>
    <w:p>
      <w:pPr>
        <w:pStyle w:val="NormalWeb"/>
        <w:spacing w:beforeAutospacing="0" w:before="0" w:afterAutospacing="0" w:after="0"/>
        <w:ind w:left="786" w:firstLine="490"/>
        <w:rPr>
          <w:rFonts w:ascii="Calibri" w:hAnsi="Calibri" w:cs="Calibri" w:asciiTheme="minorHAnsi" w:cstheme="minorHAnsi" w:hAnsiTheme="minorHAnsi"/>
        </w:rPr>
      </w:pPr>
      <w:r>
        <w:rPr>
          <w:rFonts w:cs="Calibri" w:ascii="Calibri" w:hAnsi="Calibri" w:asciiTheme="minorHAnsi" w:cstheme="minorHAnsi" w:hAnsiTheme="minorHAnsi"/>
        </w:rPr>
        <w:t xml:space="preserve">Biuro Rzecznika Praw Obywatelskich </w:t>
      </w:r>
    </w:p>
    <w:p>
      <w:pPr>
        <w:pStyle w:val="NormalWeb"/>
        <w:spacing w:beforeAutospacing="0" w:before="0" w:afterAutospacing="0" w:after="0"/>
        <w:ind w:left="786" w:firstLine="490"/>
        <w:rPr>
          <w:rFonts w:ascii="Calibri" w:hAnsi="Calibri" w:cs="Calibri" w:asciiTheme="minorHAnsi" w:cstheme="minorHAnsi" w:hAnsiTheme="minorHAnsi"/>
        </w:rPr>
      </w:pPr>
      <w:r>
        <w:rPr>
          <w:rFonts w:cs="Calibri" w:ascii="Calibri" w:hAnsi="Calibri" w:asciiTheme="minorHAnsi" w:cstheme="minorHAnsi" w:hAnsiTheme="minorHAnsi"/>
        </w:rPr>
        <w:t>al. Solidarności 77</w:t>
      </w:r>
    </w:p>
    <w:p>
      <w:pPr>
        <w:pStyle w:val="NormalWeb"/>
        <w:spacing w:beforeAutospacing="0" w:before="0" w:afterAutospacing="0" w:after="0"/>
        <w:ind w:left="786" w:firstLine="490"/>
        <w:rPr>
          <w:rFonts w:ascii="Calibri" w:hAnsi="Calibri" w:cs="Calibri" w:asciiTheme="minorHAnsi" w:cstheme="minorHAnsi" w:hAnsiTheme="minorHAnsi"/>
        </w:rPr>
      </w:pPr>
      <w:r>
        <w:rPr>
          <w:rFonts w:cs="Calibri" w:ascii="Calibri" w:hAnsi="Calibri" w:asciiTheme="minorHAnsi" w:cstheme="minorHAnsi" w:hAnsiTheme="minorHAnsi"/>
        </w:rPr>
        <w:t>00-090 Warszawa</w:t>
      </w:r>
    </w:p>
    <w:p>
      <w:pPr>
        <w:pStyle w:val="Normal"/>
        <w:spacing w:lineRule="auto" w:line="240" w:before="0" w:after="0"/>
        <w:ind w:left="568" w:firstLine="708"/>
        <w:rPr>
          <w:rFonts w:eastAsia="Times New Roman" w:cs="Calibri" w:cstheme="minorHAnsi"/>
          <w:sz w:val="24"/>
          <w:szCs w:val="24"/>
          <w:lang w:eastAsia="pl-PL"/>
        </w:rPr>
      </w:pPr>
      <w:r>
        <w:rPr>
          <w:rFonts w:eastAsia="Times New Roman" w:cs="Calibri" w:cstheme="minorHAnsi"/>
          <w:sz w:val="24"/>
          <w:szCs w:val="24"/>
          <w:lang w:eastAsia="pl-PL"/>
        </w:rPr>
        <w:t>tel. centrali: (22) 55 17 700</w:t>
      </w:r>
    </w:p>
    <w:p>
      <w:pPr>
        <w:pStyle w:val="Normal"/>
        <w:ind w:left="568" w:firstLine="708"/>
        <w:rPr>
          <w:rFonts w:cs="Calibri" w:cstheme="minorHAnsi"/>
          <w:sz w:val="24"/>
          <w:szCs w:val="24"/>
        </w:rPr>
      </w:pPr>
      <w:r>
        <w:rPr>
          <w:rFonts w:eastAsia="Times New Roman" w:cs="Calibri" w:cstheme="minorHAnsi"/>
          <w:sz w:val="24"/>
          <w:szCs w:val="24"/>
          <w:lang w:eastAsia="pl-PL"/>
        </w:rPr>
        <w:t>fax: (22) 827 64 53</w:t>
      </w:r>
    </w:p>
    <w:p>
      <w:pPr>
        <w:pStyle w:val="Normal"/>
        <w:rPr>
          <w:rFonts w:cs="Calibri" w:cstheme="minorHAnsi"/>
          <w:sz w:val="24"/>
          <w:szCs w:val="24"/>
        </w:rPr>
      </w:pPr>
      <w:r>
        <w:rPr>
          <w:rFonts w:cs="Calibri" w:cstheme="minorHAnsi"/>
          <w:sz w:val="24"/>
          <w:szCs w:val="24"/>
        </w:rPr>
      </w:r>
    </w:p>
    <w:p>
      <w:pPr>
        <w:pStyle w:val="Normal"/>
        <w:jc w:val="both"/>
        <w:rPr>
          <w:rFonts w:cs="Calibri" w:cstheme="minorHAnsi"/>
          <w:b/>
          <w:b/>
          <w:sz w:val="24"/>
          <w:szCs w:val="24"/>
        </w:rPr>
      </w:pPr>
      <w:r>
        <w:rPr>
          <w:rFonts w:cs="Calibri" w:cstheme="minorHAnsi"/>
          <w:b/>
          <w:sz w:val="24"/>
          <w:szCs w:val="24"/>
        </w:rPr>
      </w:r>
    </w:p>
    <w:p>
      <w:pPr>
        <w:pStyle w:val="Normal"/>
        <w:spacing w:before="0" w:after="160"/>
        <w:jc w:val="both"/>
        <w:rPr>
          <w:rFonts w:cs="Calibri" w:cstheme="minorHAnsi"/>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8">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1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1">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a3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08182b"/>
    <w:rPr>
      <w:color w:val="0563C1" w:themeColor="hyperlink"/>
      <w:u w:val="single"/>
    </w:rPr>
  </w:style>
  <w:style w:type="character" w:styleId="UnresolvedMention" w:customStyle="1">
    <w:name w:val="Unresolved Mention"/>
    <w:basedOn w:val="DefaultParagraphFont"/>
    <w:uiPriority w:val="99"/>
    <w:semiHidden/>
    <w:unhideWhenUsed/>
    <w:qFormat/>
    <w:rsid w:val="0008182b"/>
    <w:rPr>
      <w:color w:val="605E5C"/>
      <w:shd w:fill="E1DFDD" w:val="clear"/>
    </w:rPr>
  </w:style>
  <w:style w:type="character" w:styleId="Odwiedzoneczeinternetowe">
    <w:name w:val="Odwiedzone łącze internetowe"/>
    <w:basedOn w:val="DefaultParagraphFont"/>
    <w:uiPriority w:val="99"/>
    <w:semiHidden/>
    <w:unhideWhenUsed/>
    <w:rsid w:val="0008182b"/>
    <w:rPr>
      <w:color w:val="954F72" w:themeColor="followedHyperlink"/>
      <w:u w:val="single"/>
    </w:rPr>
  </w:style>
  <w:style w:type="character" w:styleId="Semibold" w:customStyle="1">
    <w:name w:val="semibold"/>
    <w:basedOn w:val="DefaultParagraphFont"/>
    <w:qFormat/>
    <w:rsid w:val="006a0edd"/>
    <w:rPr/>
  </w:style>
  <w:style w:type="character" w:styleId="TekstdymkaZnak" w:customStyle="1">
    <w:name w:val="Tekst dymka Znak"/>
    <w:basedOn w:val="DefaultParagraphFont"/>
    <w:link w:val="Tekstdymka"/>
    <w:uiPriority w:val="99"/>
    <w:semiHidden/>
    <w:qFormat/>
    <w:rsid w:val="00a719db"/>
    <w:rPr>
      <w:rFonts w:ascii="Segoe UI" w:hAnsi="Segoe UI" w:cs="Segoe UI"/>
      <w:sz w:val="18"/>
      <w:szCs w:val="18"/>
    </w:rPr>
  </w:style>
  <w:style w:type="character" w:styleId="AkapitzlistZnak" w:customStyle="1">
    <w:name w:val="Akapit z listą Znak"/>
    <w:link w:val="Akapitzlist"/>
    <w:uiPriority w:val="99"/>
    <w:qFormat/>
    <w:locked/>
    <w:rsid w:val="003b5b0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link w:val="AkapitzlistZnak"/>
    <w:uiPriority w:val="34"/>
    <w:qFormat/>
    <w:rsid w:val="007638bf"/>
    <w:pPr>
      <w:spacing w:before="0" w:after="160"/>
      <w:ind w:left="720" w:hanging="0"/>
      <w:contextualSpacing/>
    </w:pPr>
    <w:rPr/>
  </w:style>
  <w:style w:type="paragraph" w:styleId="NormalWeb">
    <w:name w:val="Normal (Web)"/>
    <w:basedOn w:val="Normal"/>
    <w:uiPriority w:val="99"/>
    <w:semiHidden/>
    <w:unhideWhenUsed/>
    <w:qFormat/>
    <w:rsid w:val="006a0edd"/>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a719d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gloszenie@rz.policja.gov.pl" TargetMode="External"/><Relationship Id="rId3" Type="http://schemas.openxmlformats.org/officeDocument/2006/relationships/hyperlink" Target="https://sanok.bip.policja.gov.pl/" TargetMode="External"/><Relationship Id="rId4" Type="http://schemas.openxmlformats.org/officeDocument/2006/relationships/hyperlink" Target="mailto:zgloszenie@rz.policja.gov.pl" TargetMode="External"/><Relationship Id="rId5" Type="http://schemas.openxmlformats.org/officeDocument/2006/relationships/hyperlink" Target="https://sip.legalis.pl/document-view.seam?documentId=mfrxilrtg4ytsmrzgq4dmltqmfyc4nrzgqyteojsge&amp;refSource=hyp" TargetMode="External"/><Relationship Id="rId6" Type="http://schemas.openxmlformats.org/officeDocument/2006/relationships/hyperlink" Target="https://sip.legalis.pl/document-view.seam?documentId=mfrxilrtg4ytsmrzgq4dmltqmfyc4nrzgqyteobrgq&amp;refSource=hyp" TargetMode="External"/><Relationship Id="rId7" Type="http://schemas.openxmlformats.org/officeDocument/2006/relationships/hyperlink" Target="https://sip.legalis.pl/document-view.seam?documentId=mfrxilrtg4ytsmzsgmytqltqmfyc4nrzguytaojqgq&amp;refSource=hyp" TargetMode="External"/><Relationship Id="rId8" Type="http://schemas.openxmlformats.org/officeDocument/2006/relationships/hyperlink" Target="https://sip.legalis.pl/document-view.seam?documentId=mfrxilrtg4ytonrvgq4teltqmfyc4nrtha4tgnrzgi&amp;refSource=hyp" TargetMode="External"/><Relationship Id="rId9"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E073-2955-46C4-98D9-719CA0AA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Pages>6</Pages>
  <Words>1871</Words>
  <Characters>12524</Characters>
  <CharactersWithSpaces>14339</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2024-12-24T09:43:00Z</dcterms:created>
  <dc:creator>Paweł Nowak</dc:creator>
  <dc:description/>
  <dc:language>pl-PL</dc:language>
  <cp:lastModifiedBy/>
  <cp:lastPrinted>2024-12-20T09:28:00Z</cp:lastPrinted>
  <dcterms:modified xsi:type="dcterms:W3CDTF">2025-02-20T08:07:42Z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